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1B" w:rsidRDefault="00B5621B" w:rsidP="00B5621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D75330">
        <w:rPr>
          <w:rFonts w:ascii="Times New Roman" w:hAnsi="Times New Roman" w:cs="Times New Roman"/>
          <w:sz w:val="28"/>
          <w:szCs w:val="28"/>
        </w:rPr>
        <w:t xml:space="preserve">«Утверждено» </w:t>
      </w:r>
    </w:p>
    <w:p w:rsidR="00B5621B" w:rsidRDefault="00B5621B" w:rsidP="00B5621B">
      <w:pPr>
        <w:spacing w:after="0"/>
        <w:jc w:val="center"/>
        <w:rPr>
          <w:rFonts w:ascii="Times New Roman" w:hAnsi="Times New Roman" w:cs="Times New Roman"/>
          <w:sz w:val="28"/>
          <w:szCs w:val="28"/>
        </w:rPr>
      </w:pPr>
      <w:r>
        <w:rPr>
          <w:rFonts w:ascii="Times New Roman" w:hAnsi="Times New Roman" w:cs="Times New Roman"/>
          <w:sz w:val="28"/>
          <w:szCs w:val="28"/>
        </w:rPr>
        <w:t xml:space="preserve">                                                             Заведующим МАДОУ детский сад</w:t>
      </w:r>
    </w:p>
    <w:p w:rsidR="00B5621B" w:rsidRDefault="00B5621B" w:rsidP="00B5621B">
      <w:pPr>
        <w:spacing w:after="0"/>
        <w:jc w:val="center"/>
        <w:rPr>
          <w:rFonts w:ascii="Times New Roman" w:hAnsi="Times New Roman" w:cs="Times New Roman"/>
          <w:sz w:val="28"/>
          <w:szCs w:val="28"/>
        </w:rPr>
      </w:pPr>
      <w:r>
        <w:rPr>
          <w:rFonts w:ascii="Times New Roman" w:hAnsi="Times New Roman" w:cs="Times New Roman"/>
          <w:sz w:val="28"/>
          <w:szCs w:val="28"/>
        </w:rPr>
        <w:t xml:space="preserve">                                    «Родничок»п</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атон</w:t>
      </w:r>
    </w:p>
    <w:p w:rsidR="00B5621B" w:rsidRDefault="00B5621B" w:rsidP="00B5621B">
      <w:pPr>
        <w:spacing w:after="0"/>
        <w:jc w:val="center"/>
        <w:rPr>
          <w:rFonts w:ascii="Times New Roman" w:hAnsi="Times New Roman" w:cs="Times New Roman"/>
          <w:sz w:val="28"/>
          <w:szCs w:val="28"/>
        </w:rPr>
      </w:pPr>
      <w:r>
        <w:rPr>
          <w:rFonts w:ascii="Times New Roman" w:hAnsi="Times New Roman" w:cs="Times New Roman"/>
          <w:sz w:val="28"/>
          <w:szCs w:val="28"/>
        </w:rPr>
        <w:t xml:space="preserve">                                              __________О.Б. </w:t>
      </w:r>
      <w:proofErr w:type="spellStart"/>
      <w:r>
        <w:rPr>
          <w:rFonts w:ascii="Times New Roman" w:hAnsi="Times New Roman" w:cs="Times New Roman"/>
          <w:sz w:val="28"/>
          <w:szCs w:val="28"/>
        </w:rPr>
        <w:t>Коптева</w:t>
      </w:r>
      <w:proofErr w:type="spellEnd"/>
    </w:p>
    <w:p w:rsidR="00B5621B" w:rsidRDefault="00B5621B" w:rsidP="00B5621B">
      <w:pPr>
        <w:spacing w:after="0"/>
        <w:jc w:val="center"/>
        <w:rPr>
          <w:rFonts w:ascii="Times New Roman" w:hAnsi="Times New Roman" w:cs="Times New Roman"/>
          <w:sz w:val="28"/>
          <w:szCs w:val="28"/>
        </w:rPr>
      </w:pPr>
    </w:p>
    <w:p w:rsidR="00B5621B" w:rsidRPr="00D75330" w:rsidRDefault="00B5621B" w:rsidP="00B5621B">
      <w:pPr>
        <w:spacing w:after="0"/>
        <w:jc w:val="center"/>
        <w:rPr>
          <w:rFonts w:ascii="Times New Roman" w:hAnsi="Times New Roman" w:cs="Times New Roman"/>
          <w:sz w:val="28"/>
          <w:szCs w:val="28"/>
        </w:rPr>
      </w:pPr>
      <w:r>
        <w:rPr>
          <w:rFonts w:ascii="Times New Roman" w:hAnsi="Times New Roman" w:cs="Times New Roman"/>
          <w:sz w:val="28"/>
          <w:szCs w:val="28"/>
        </w:rPr>
        <w:t xml:space="preserve">                                                      Приказ №____________</w:t>
      </w:r>
    </w:p>
    <w:p w:rsidR="00B5621B" w:rsidRDefault="00B5621B" w:rsidP="00B5621B">
      <w:pPr>
        <w:spacing w:after="0"/>
        <w:jc w:val="center"/>
        <w:rPr>
          <w:rFonts w:ascii="Times New Roman" w:hAnsi="Times New Roman" w:cs="Times New Roman"/>
          <w:b/>
          <w:sz w:val="28"/>
          <w:szCs w:val="28"/>
        </w:rPr>
      </w:pPr>
    </w:p>
    <w:p w:rsidR="00B5621B" w:rsidRDefault="00B5621B" w:rsidP="00B5621B">
      <w:pPr>
        <w:spacing w:after="0"/>
        <w:jc w:val="center"/>
        <w:rPr>
          <w:rFonts w:ascii="Times New Roman" w:hAnsi="Times New Roman" w:cs="Times New Roman"/>
          <w:b/>
          <w:sz w:val="28"/>
          <w:szCs w:val="28"/>
        </w:rPr>
      </w:pPr>
    </w:p>
    <w:p w:rsidR="00B5621B" w:rsidRPr="00D75330" w:rsidRDefault="00B5621B" w:rsidP="00B5621B">
      <w:pPr>
        <w:spacing w:after="0"/>
        <w:jc w:val="center"/>
        <w:rPr>
          <w:rFonts w:ascii="Times New Roman" w:hAnsi="Times New Roman" w:cs="Times New Roman"/>
          <w:b/>
          <w:sz w:val="28"/>
          <w:szCs w:val="28"/>
        </w:rPr>
      </w:pPr>
      <w:r w:rsidRPr="00D75330">
        <w:rPr>
          <w:rFonts w:ascii="Times New Roman" w:hAnsi="Times New Roman" w:cs="Times New Roman"/>
          <w:b/>
          <w:sz w:val="28"/>
          <w:szCs w:val="28"/>
        </w:rPr>
        <w:t>Положение</w:t>
      </w:r>
    </w:p>
    <w:p w:rsidR="00B5621B" w:rsidRPr="00067DD0" w:rsidRDefault="00B5621B" w:rsidP="00B5621B">
      <w:pPr>
        <w:spacing w:after="0"/>
        <w:jc w:val="center"/>
        <w:rPr>
          <w:rFonts w:ascii="Times New Roman" w:hAnsi="Times New Roman" w:cs="Times New Roman"/>
          <w:sz w:val="28"/>
          <w:szCs w:val="28"/>
        </w:rPr>
      </w:pPr>
      <w:r w:rsidRPr="00D75330">
        <w:rPr>
          <w:rFonts w:ascii="Times New Roman" w:hAnsi="Times New Roman" w:cs="Times New Roman"/>
          <w:b/>
          <w:sz w:val="28"/>
          <w:szCs w:val="28"/>
        </w:rPr>
        <w:t xml:space="preserve">об оценке коррупционных рисков в Муниципальном </w:t>
      </w:r>
      <w:proofErr w:type="spellStart"/>
      <w:r w:rsidRPr="00D75330">
        <w:rPr>
          <w:rFonts w:ascii="Times New Roman" w:hAnsi="Times New Roman" w:cs="Times New Roman"/>
          <w:b/>
          <w:sz w:val="28"/>
          <w:szCs w:val="28"/>
        </w:rPr>
        <w:t>атономном</w:t>
      </w:r>
      <w:proofErr w:type="spellEnd"/>
      <w:r w:rsidRPr="00D75330">
        <w:rPr>
          <w:rFonts w:ascii="Times New Roman" w:hAnsi="Times New Roman" w:cs="Times New Roman"/>
          <w:b/>
          <w:sz w:val="28"/>
          <w:szCs w:val="28"/>
        </w:rPr>
        <w:t xml:space="preserve"> дошкольном образовательном учреждении детский сад «Родничок»</w:t>
      </w:r>
      <w:r w:rsidR="002F4ABC">
        <w:rPr>
          <w:rFonts w:ascii="Times New Roman" w:hAnsi="Times New Roman" w:cs="Times New Roman"/>
          <w:b/>
          <w:sz w:val="28"/>
          <w:szCs w:val="28"/>
        </w:rPr>
        <w:t xml:space="preserve"> </w:t>
      </w:r>
      <w:r w:rsidRPr="00D75330">
        <w:rPr>
          <w:rFonts w:ascii="Times New Roman" w:hAnsi="Times New Roman" w:cs="Times New Roman"/>
          <w:b/>
          <w:sz w:val="28"/>
          <w:szCs w:val="28"/>
        </w:rPr>
        <w:t>п.</w:t>
      </w:r>
      <w:r w:rsidR="002F4ABC">
        <w:rPr>
          <w:rFonts w:ascii="Times New Roman" w:hAnsi="Times New Roman" w:cs="Times New Roman"/>
          <w:b/>
          <w:sz w:val="28"/>
          <w:szCs w:val="28"/>
        </w:rPr>
        <w:t xml:space="preserve"> </w:t>
      </w:r>
      <w:r w:rsidRPr="00D75330">
        <w:rPr>
          <w:rFonts w:ascii="Times New Roman" w:hAnsi="Times New Roman" w:cs="Times New Roman"/>
          <w:b/>
          <w:sz w:val="28"/>
          <w:szCs w:val="28"/>
        </w:rPr>
        <w:t>Затон</w:t>
      </w:r>
    </w:p>
    <w:p w:rsidR="00B5621B" w:rsidRPr="00067DD0" w:rsidRDefault="00B5621B" w:rsidP="00B5621B">
      <w:pPr>
        <w:spacing w:after="0"/>
        <w:jc w:val="both"/>
        <w:rPr>
          <w:rFonts w:ascii="Times New Roman" w:hAnsi="Times New Roman" w:cs="Times New Roman"/>
          <w:sz w:val="28"/>
          <w:szCs w:val="28"/>
        </w:rPr>
      </w:pP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w:t>
      </w:r>
      <w:proofErr w:type="spellStart"/>
      <w:r w:rsidRPr="00067DD0">
        <w:rPr>
          <w:rFonts w:ascii="Times New Roman" w:hAnsi="Times New Roman" w:cs="Times New Roman"/>
          <w:sz w:val="28"/>
          <w:szCs w:val="28"/>
        </w:rPr>
        <w:t>антикоррупционной</w:t>
      </w:r>
      <w:proofErr w:type="spellEnd"/>
      <w:r w:rsidRPr="00067DD0">
        <w:rPr>
          <w:rFonts w:ascii="Times New Roman" w:hAnsi="Times New Roman" w:cs="Times New Roman"/>
          <w:sz w:val="28"/>
          <w:szCs w:val="28"/>
        </w:rPr>
        <w:t xml:space="preserve"> по</w:t>
      </w:r>
      <w:r>
        <w:rPr>
          <w:rFonts w:ascii="Times New Roman" w:hAnsi="Times New Roman" w:cs="Times New Roman"/>
          <w:sz w:val="28"/>
          <w:szCs w:val="28"/>
        </w:rPr>
        <w:t>литики Муниципального автономного дошкольного образовательного учреждения детский сад «Родничок»п</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атон</w:t>
      </w:r>
      <w:r w:rsidRPr="00067DD0">
        <w:rPr>
          <w:rFonts w:ascii="Times New Roman" w:hAnsi="Times New Roman" w:cs="Times New Roman"/>
          <w:sz w:val="28"/>
          <w:szCs w:val="28"/>
        </w:rPr>
        <w:t xml:space="preserve"> (далее - </w:t>
      </w:r>
      <w:proofErr w:type="gramStart"/>
      <w:r w:rsidRPr="00067DD0">
        <w:rPr>
          <w:rFonts w:ascii="Times New Roman" w:hAnsi="Times New Roman" w:cs="Times New Roman"/>
          <w:sz w:val="28"/>
          <w:szCs w:val="28"/>
        </w:rPr>
        <w:t xml:space="preserve">Учреждение), позволяющая обеспечить соответствие реализуемых </w:t>
      </w:r>
      <w:proofErr w:type="spellStart"/>
      <w:r w:rsidRPr="00067DD0">
        <w:rPr>
          <w:rFonts w:ascii="Times New Roman" w:hAnsi="Times New Roman" w:cs="Times New Roman"/>
          <w:sz w:val="28"/>
          <w:szCs w:val="28"/>
        </w:rPr>
        <w:t>антикоррупционных</w:t>
      </w:r>
      <w:proofErr w:type="spellEnd"/>
      <w:r w:rsidRPr="00067DD0">
        <w:rPr>
          <w:rFonts w:ascii="Times New Roman" w:hAnsi="Times New Roman" w:cs="Times New Roman"/>
          <w:sz w:val="28"/>
          <w:szCs w:val="28"/>
        </w:rPr>
        <w:t xml:space="preserve">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roofErr w:type="gramEnd"/>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Оценка коррупционных рисков в деятельности Учреждения проводится как на стадии разработки </w:t>
      </w:r>
      <w:proofErr w:type="spellStart"/>
      <w:r w:rsidRPr="00067DD0">
        <w:rPr>
          <w:rFonts w:ascii="Times New Roman" w:hAnsi="Times New Roman" w:cs="Times New Roman"/>
          <w:sz w:val="28"/>
          <w:szCs w:val="28"/>
        </w:rPr>
        <w:t>антикоррупционной</w:t>
      </w:r>
      <w:proofErr w:type="spellEnd"/>
      <w:r w:rsidRPr="00067DD0">
        <w:rPr>
          <w:rFonts w:ascii="Times New Roman" w:hAnsi="Times New Roman" w:cs="Times New Roman"/>
          <w:sz w:val="28"/>
          <w:szCs w:val="28"/>
        </w:rPr>
        <w:t xml:space="preserve"> политики, так и после её утверждения на регулярной основе ежегодно до 1 марта. На основании оценки коррупционных рисков составляется перечень коррупционно-опасных функций, и разрабатывается комплекс мер по устранению или минимизации коррупционных рисков.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2.2. Оценку коррупционных рисков в деятельности Учреждения осуществляет должностное лицо, ответственное за профилактику коррупционных пр</w:t>
      </w:r>
      <w:r>
        <w:rPr>
          <w:rFonts w:ascii="Times New Roman" w:hAnsi="Times New Roman" w:cs="Times New Roman"/>
          <w:sz w:val="28"/>
          <w:szCs w:val="28"/>
        </w:rPr>
        <w:t>авонарушений –заведующий МАДОУ детский сад «Родничок»п</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атон</w:t>
      </w:r>
      <w:r w:rsidRPr="00067DD0">
        <w:rPr>
          <w:rFonts w:ascii="Times New Roman" w:hAnsi="Times New Roman" w:cs="Times New Roman"/>
          <w:sz w:val="28"/>
          <w:szCs w:val="28"/>
        </w:rPr>
        <w:t xml:space="preserve">.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 Провести анализ деятельности Учреждения, выделив: отдельные процессы; составные элементы процессов (</w:t>
      </w:r>
      <w:proofErr w:type="spellStart"/>
      <w:r w:rsidRPr="00067DD0">
        <w:rPr>
          <w:rFonts w:ascii="Times New Roman" w:hAnsi="Times New Roman" w:cs="Times New Roman"/>
          <w:sz w:val="28"/>
          <w:szCs w:val="28"/>
        </w:rPr>
        <w:t>подпроцессы</w:t>
      </w:r>
      <w:proofErr w:type="spellEnd"/>
      <w:r w:rsidRPr="00067DD0">
        <w:rPr>
          <w:rFonts w:ascii="Times New Roman" w:hAnsi="Times New Roman" w:cs="Times New Roman"/>
          <w:sz w:val="28"/>
          <w:szCs w:val="28"/>
        </w:rPr>
        <w:t xml:space="preserve">).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(элементы процессов (</w:t>
      </w:r>
      <w:proofErr w:type="spellStart"/>
      <w:r w:rsidRPr="006216AC">
        <w:rPr>
          <w:rFonts w:ascii="Times New Roman" w:hAnsi="Times New Roman" w:cs="Times New Roman"/>
          <w:sz w:val="28"/>
          <w:szCs w:val="28"/>
        </w:rPr>
        <w:t>подпроцессов</w:t>
      </w:r>
      <w:proofErr w:type="spellEnd"/>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w:t>
      </w:r>
      <w:proofErr w:type="gramStart"/>
      <w:r w:rsidRPr="00067DD0">
        <w:rPr>
          <w:rFonts w:ascii="Times New Roman" w:hAnsi="Times New Roman" w:cs="Times New Roman"/>
          <w:sz w:val="28"/>
          <w:szCs w:val="28"/>
        </w:rPr>
        <w:t xml:space="preserve">Составить для </w:t>
      </w:r>
      <w:proofErr w:type="spellStart"/>
      <w:r w:rsidRPr="00067DD0">
        <w:rPr>
          <w:rFonts w:ascii="Times New Roman" w:hAnsi="Times New Roman" w:cs="Times New Roman"/>
          <w:sz w:val="28"/>
          <w:szCs w:val="28"/>
        </w:rPr>
        <w:t>подпроцессов</w:t>
      </w:r>
      <w:proofErr w:type="spellEnd"/>
      <w:r w:rsidRPr="00067DD0">
        <w:rPr>
          <w:rFonts w:ascii="Times New Roman" w:hAnsi="Times New Roman" w:cs="Times New Roman"/>
          <w:sz w:val="28"/>
          <w:szCs w:val="28"/>
        </w:rPr>
        <w:t xml:space="preserve">, реализация которых связана с коррупционным риском, описание возможных коррупционных правонарушений, включающее: </w:t>
      </w:r>
      <w:proofErr w:type="gramEnd"/>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должности в Учреждении, которые являются «ключевыми» для совершения коррупционного правонарушения (потенциально </w:t>
      </w:r>
      <w:proofErr w:type="spellStart"/>
      <w:r w:rsidRPr="00067DD0">
        <w:rPr>
          <w:rFonts w:ascii="Times New Roman" w:hAnsi="Times New Roman" w:cs="Times New Roman"/>
          <w:sz w:val="28"/>
          <w:szCs w:val="28"/>
        </w:rPr>
        <w:t>коррупциогенные</w:t>
      </w:r>
      <w:proofErr w:type="spellEnd"/>
      <w:r w:rsidRPr="00067DD0">
        <w:rPr>
          <w:rFonts w:ascii="Times New Roman" w:hAnsi="Times New Roman" w:cs="Times New Roman"/>
          <w:sz w:val="28"/>
          <w:szCs w:val="28"/>
        </w:rPr>
        <w:t xml:space="preserve"> должности)</w:t>
      </w:r>
      <w:r>
        <w:rPr>
          <w:rFonts w:ascii="Times New Roman" w:hAnsi="Times New Roman" w:cs="Times New Roman"/>
          <w:sz w:val="28"/>
          <w:szCs w:val="28"/>
        </w:rPr>
        <w:t xml:space="preserve">, </w:t>
      </w:r>
      <w:r w:rsidRPr="00187A74">
        <w:rPr>
          <w:rFonts w:ascii="Times New Roman" w:hAnsi="Times New Roman" w:cs="Times New Roman"/>
          <w:sz w:val="28"/>
          <w:szCs w:val="28"/>
        </w:rPr>
        <w:t>с возможным указанием ФИО сотрудников, замещающих указанные должности;</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w:t>
      </w:r>
      <w:proofErr w:type="spellStart"/>
      <w:r w:rsidRPr="00067DD0">
        <w:rPr>
          <w:rFonts w:ascii="Times New Roman" w:hAnsi="Times New Roman" w:cs="Times New Roman"/>
          <w:sz w:val="28"/>
          <w:szCs w:val="28"/>
        </w:rPr>
        <w:t>антикоррупционные</w:t>
      </w:r>
      <w:proofErr w:type="spellEnd"/>
      <w:r w:rsidRPr="00067DD0">
        <w:rPr>
          <w:rFonts w:ascii="Times New Roman" w:hAnsi="Times New Roman" w:cs="Times New Roman"/>
          <w:sz w:val="28"/>
          <w:szCs w:val="28"/>
        </w:rPr>
        <w:t xml:space="preserve"> процедуры и требования (например, представление сведений о доходах, имуществе и обязательствах имущественного характера).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исполнением работниками Учреждения своих обязанностей (проверочные мероприятия на основании поступившей информации о проявлениях коррупции);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w:t>
      </w:r>
      <w:proofErr w:type="spellStart"/>
      <w:r w:rsidRPr="00067DD0">
        <w:rPr>
          <w:rFonts w:ascii="Times New Roman" w:hAnsi="Times New Roman" w:cs="Times New Roman"/>
          <w:sz w:val="28"/>
          <w:szCs w:val="28"/>
        </w:rPr>
        <w:t>подпроцессов</w:t>
      </w:r>
      <w:proofErr w:type="spellEnd"/>
      <w:r w:rsidRPr="00067DD0">
        <w:rPr>
          <w:rFonts w:ascii="Times New Roman" w:hAnsi="Times New Roman" w:cs="Times New Roman"/>
          <w:sz w:val="28"/>
          <w:szCs w:val="28"/>
        </w:rPr>
        <w:t xml:space="preserve"> с повышенным уровнем коррупционной уязвимости;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использование видео- и звукозаписывающих устройств в местах приема граждан и представителей организаций и иные меры.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Карта коррупционных рисков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r w:rsidRPr="006216AC">
        <w:rPr>
          <w:rFonts w:ascii="Times New Roman" w:hAnsi="Times New Roman" w:cs="Times New Roman"/>
          <w:sz w:val="28"/>
          <w:szCs w:val="28"/>
        </w:rPr>
        <w:t>), фамилии и инициалы замещающих их сотрудников;</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коррупционно-опасных функций.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rsidR="00B5621B" w:rsidRPr="00067DD0"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rsidR="00B5621B" w:rsidRDefault="00B5621B" w:rsidP="00B5621B">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rsidR="00B5621B" w:rsidRDefault="00B5621B" w:rsidP="00B5621B">
      <w:pPr>
        <w:spacing w:after="0"/>
        <w:jc w:val="right"/>
        <w:rPr>
          <w:rFonts w:ascii="Times New Roman" w:hAnsi="Times New Roman" w:cs="Times New Roman"/>
          <w:sz w:val="28"/>
          <w:szCs w:val="28"/>
        </w:rPr>
      </w:pPr>
    </w:p>
    <w:p w:rsidR="00B5621B" w:rsidRPr="006A0848" w:rsidRDefault="00B5621B" w:rsidP="00B5621B">
      <w:pPr>
        <w:spacing w:after="0"/>
        <w:jc w:val="right"/>
        <w:rPr>
          <w:rFonts w:ascii="Times New Roman" w:hAnsi="Times New Roman" w:cs="Times New Roman"/>
          <w:sz w:val="24"/>
          <w:szCs w:val="24"/>
        </w:rPr>
      </w:pPr>
      <w:r w:rsidRPr="006A0848">
        <w:rPr>
          <w:rFonts w:ascii="Times New Roman" w:hAnsi="Times New Roman" w:cs="Times New Roman"/>
          <w:sz w:val="24"/>
          <w:szCs w:val="24"/>
        </w:rPr>
        <w:lastRenderedPageBreak/>
        <w:t xml:space="preserve">Приложение </w:t>
      </w:r>
    </w:p>
    <w:p w:rsidR="00B5621B" w:rsidRPr="006A0848" w:rsidRDefault="00B5621B" w:rsidP="00B5621B">
      <w:pPr>
        <w:spacing w:after="0"/>
        <w:jc w:val="right"/>
        <w:rPr>
          <w:rFonts w:ascii="Times New Roman" w:hAnsi="Times New Roman" w:cs="Times New Roman"/>
          <w:sz w:val="24"/>
          <w:szCs w:val="24"/>
        </w:rPr>
      </w:pPr>
      <w:r w:rsidRPr="006A0848">
        <w:rPr>
          <w:rFonts w:ascii="Times New Roman" w:hAnsi="Times New Roman" w:cs="Times New Roman"/>
          <w:sz w:val="24"/>
          <w:szCs w:val="24"/>
        </w:rPr>
        <w:t xml:space="preserve">к Положению об оценке коррупционных рисков </w:t>
      </w:r>
    </w:p>
    <w:p w:rsidR="00B5621B" w:rsidRPr="006A0848" w:rsidRDefault="00B5621B" w:rsidP="00B5621B">
      <w:pPr>
        <w:spacing w:after="0"/>
        <w:jc w:val="right"/>
        <w:rPr>
          <w:rFonts w:ascii="Times New Roman" w:hAnsi="Times New Roman" w:cs="Times New Roman"/>
          <w:sz w:val="24"/>
          <w:szCs w:val="24"/>
        </w:rPr>
      </w:pPr>
      <w:r w:rsidRPr="006A0848">
        <w:rPr>
          <w:rFonts w:ascii="Times New Roman" w:hAnsi="Times New Roman" w:cs="Times New Roman"/>
          <w:sz w:val="24"/>
          <w:szCs w:val="24"/>
        </w:rPr>
        <w:t xml:space="preserve">в  Муниципальном автономном дошкольном </w:t>
      </w:r>
    </w:p>
    <w:p w:rsidR="00B5621B" w:rsidRPr="006A0848" w:rsidRDefault="00B5621B" w:rsidP="00B5621B">
      <w:pPr>
        <w:spacing w:after="0"/>
        <w:jc w:val="right"/>
        <w:rPr>
          <w:rFonts w:ascii="Times New Roman" w:hAnsi="Times New Roman" w:cs="Times New Roman"/>
          <w:sz w:val="24"/>
          <w:szCs w:val="24"/>
        </w:rPr>
      </w:pPr>
      <w:r w:rsidRPr="006A0848">
        <w:rPr>
          <w:rFonts w:ascii="Times New Roman" w:hAnsi="Times New Roman" w:cs="Times New Roman"/>
          <w:sz w:val="24"/>
          <w:szCs w:val="24"/>
        </w:rPr>
        <w:t xml:space="preserve">образовательном </w:t>
      </w:r>
      <w:proofErr w:type="gramStart"/>
      <w:r w:rsidRPr="006A0848">
        <w:rPr>
          <w:rFonts w:ascii="Times New Roman" w:hAnsi="Times New Roman" w:cs="Times New Roman"/>
          <w:sz w:val="24"/>
          <w:szCs w:val="24"/>
        </w:rPr>
        <w:t>учреждении</w:t>
      </w:r>
      <w:proofErr w:type="gramEnd"/>
      <w:r w:rsidRPr="006A0848">
        <w:rPr>
          <w:rFonts w:ascii="Times New Roman" w:hAnsi="Times New Roman" w:cs="Times New Roman"/>
          <w:sz w:val="24"/>
          <w:szCs w:val="24"/>
        </w:rPr>
        <w:t xml:space="preserve"> детский сад </w:t>
      </w:r>
    </w:p>
    <w:p w:rsidR="00B5621B" w:rsidRPr="006A0848" w:rsidRDefault="00B5621B" w:rsidP="00B5621B">
      <w:pPr>
        <w:spacing w:after="0"/>
        <w:jc w:val="right"/>
        <w:rPr>
          <w:rFonts w:ascii="Times New Roman" w:hAnsi="Times New Roman" w:cs="Times New Roman"/>
          <w:sz w:val="24"/>
          <w:szCs w:val="24"/>
        </w:rPr>
      </w:pPr>
      <w:r w:rsidRPr="006A0848">
        <w:rPr>
          <w:rFonts w:ascii="Times New Roman" w:hAnsi="Times New Roman" w:cs="Times New Roman"/>
          <w:sz w:val="24"/>
          <w:szCs w:val="24"/>
        </w:rPr>
        <w:t>«Родничок»п</w:t>
      </w:r>
      <w:proofErr w:type="gramStart"/>
      <w:r w:rsidRPr="006A0848">
        <w:rPr>
          <w:rFonts w:ascii="Times New Roman" w:hAnsi="Times New Roman" w:cs="Times New Roman"/>
          <w:sz w:val="24"/>
          <w:szCs w:val="24"/>
        </w:rPr>
        <w:t>.З</w:t>
      </w:r>
      <w:proofErr w:type="gramEnd"/>
      <w:r w:rsidRPr="006A0848">
        <w:rPr>
          <w:rFonts w:ascii="Times New Roman" w:hAnsi="Times New Roman" w:cs="Times New Roman"/>
          <w:sz w:val="24"/>
          <w:szCs w:val="24"/>
        </w:rPr>
        <w:t>атон</w:t>
      </w:r>
    </w:p>
    <w:p w:rsidR="00B5621B" w:rsidRPr="006A0848" w:rsidRDefault="00B5621B" w:rsidP="00B5621B">
      <w:pPr>
        <w:spacing w:after="0"/>
        <w:jc w:val="right"/>
        <w:rPr>
          <w:rFonts w:ascii="Times New Roman" w:hAnsi="Times New Roman" w:cs="Times New Roman"/>
          <w:sz w:val="24"/>
          <w:szCs w:val="24"/>
        </w:rPr>
      </w:pPr>
    </w:p>
    <w:p w:rsidR="00B5621B" w:rsidRPr="006A0848" w:rsidRDefault="00B5621B" w:rsidP="00B5621B">
      <w:pPr>
        <w:tabs>
          <w:tab w:val="left" w:pos="6090"/>
        </w:tabs>
        <w:jc w:val="center"/>
        <w:rPr>
          <w:rFonts w:ascii="Times New Roman" w:hAnsi="Times New Roman" w:cs="Times New Roman"/>
          <w:sz w:val="24"/>
          <w:szCs w:val="24"/>
        </w:rPr>
      </w:pPr>
      <w:r w:rsidRPr="006A0848">
        <w:rPr>
          <w:rFonts w:ascii="Times New Roman" w:hAnsi="Times New Roman" w:cs="Times New Roman"/>
          <w:sz w:val="24"/>
          <w:szCs w:val="24"/>
        </w:rPr>
        <w:t>Карта коррупционных рисков</w:t>
      </w:r>
    </w:p>
    <w:tbl>
      <w:tblPr>
        <w:tblStyle w:val="a3"/>
        <w:tblW w:w="0" w:type="auto"/>
        <w:tblInd w:w="-601" w:type="dxa"/>
        <w:tblLayout w:type="fixed"/>
        <w:tblLook w:val="04A0"/>
      </w:tblPr>
      <w:tblGrid>
        <w:gridCol w:w="709"/>
        <w:gridCol w:w="1276"/>
        <w:gridCol w:w="1916"/>
        <w:gridCol w:w="1457"/>
        <w:gridCol w:w="1447"/>
        <w:gridCol w:w="1546"/>
        <w:gridCol w:w="13"/>
        <w:gridCol w:w="1808"/>
      </w:tblGrid>
      <w:tr w:rsidR="00B5621B" w:rsidRPr="006A0848" w:rsidTr="00672DCC">
        <w:tc>
          <w:tcPr>
            <w:tcW w:w="709" w:type="dxa"/>
            <w:vMerge w:val="restart"/>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w:t>
            </w:r>
          </w:p>
        </w:tc>
        <w:tc>
          <w:tcPr>
            <w:tcW w:w="1276" w:type="dxa"/>
            <w:vMerge w:val="restart"/>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Критическая точка</w:t>
            </w:r>
          </w:p>
        </w:tc>
        <w:tc>
          <w:tcPr>
            <w:tcW w:w="1916" w:type="dxa"/>
            <w:vMerge w:val="restart"/>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Краткое описание возможной коррупционной схемы</w:t>
            </w:r>
          </w:p>
        </w:tc>
        <w:tc>
          <w:tcPr>
            <w:tcW w:w="1457" w:type="dxa"/>
            <w:vMerge w:val="restart"/>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Подразделение и должности, замещение которых связано с коррупционными рисками, ФИО сотрудников</w:t>
            </w:r>
          </w:p>
        </w:tc>
        <w:tc>
          <w:tcPr>
            <w:tcW w:w="1447" w:type="dxa"/>
            <w:vMerge w:val="restart"/>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Вероятность риска, потенциальный вред</w:t>
            </w:r>
          </w:p>
        </w:tc>
        <w:tc>
          <w:tcPr>
            <w:tcW w:w="3367" w:type="dxa"/>
            <w:gridSpan w:val="3"/>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Меры по минимизации рисков в критической точке</w:t>
            </w:r>
          </w:p>
        </w:tc>
      </w:tr>
      <w:tr w:rsidR="00B5621B" w:rsidRPr="006A0848" w:rsidTr="00672DCC">
        <w:tc>
          <w:tcPr>
            <w:tcW w:w="709" w:type="dxa"/>
            <w:vMerge/>
          </w:tcPr>
          <w:p w:rsidR="00B5621B" w:rsidRPr="006A0848" w:rsidRDefault="00B5621B" w:rsidP="00672DCC">
            <w:pPr>
              <w:jc w:val="both"/>
              <w:rPr>
                <w:rFonts w:ascii="Times New Roman" w:hAnsi="Times New Roman" w:cs="Times New Roman"/>
              </w:rPr>
            </w:pPr>
          </w:p>
        </w:tc>
        <w:tc>
          <w:tcPr>
            <w:tcW w:w="1276" w:type="dxa"/>
            <w:vMerge/>
          </w:tcPr>
          <w:p w:rsidR="00B5621B" w:rsidRPr="006A0848" w:rsidRDefault="00B5621B" w:rsidP="00672DCC">
            <w:pPr>
              <w:jc w:val="both"/>
              <w:rPr>
                <w:rFonts w:ascii="Times New Roman" w:hAnsi="Times New Roman" w:cs="Times New Roman"/>
              </w:rPr>
            </w:pPr>
          </w:p>
        </w:tc>
        <w:tc>
          <w:tcPr>
            <w:tcW w:w="1916" w:type="dxa"/>
            <w:vMerge/>
          </w:tcPr>
          <w:p w:rsidR="00B5621B" w:rsidRPr="006A0848" w:rsidRDefault="00B5621B" w:rsidP="00672DCC">
            <w:pPr>
              <w:jc w:val="both"/>
              <w:rPr>
                <w:rFonts w:ascii="Times New Roman" w:hAnsi="Times New Roman" w:cs="Times New Roman"/>
              </w:rPr>
            </w:pPr>
          </w:p>
        </w:tc>
        <w:tc>
          <w:tcPr>
            <w:tcW w:w="1457" w:type="dxa"/>
            <w:vMerge/>
          </w:tcPr>
          <w:p w:rsidR="00B5621B" w:rsidRPr="006A0848" w:rsidRDefault="00B5621B" w:rsidP="00672DCC">
            <w:pPr>
              <w:jc w:val="both"/>
              <w:rPr>
                <w:rFonts w:ascii="Times New Roman" w:hAnsi="Times New Roman" w:cs="Times New Roman"/>
              </w:rPr>
            </w:pPr>
          </w:p>
        </w:tc>
        <w:tc>
          <w:tcPr>
            <w:tcW w:w="1447" w:type="dxa"/>
            <w:vMerge/>
          </w:tcPr>
          <w:p w:rsidR="00B5621B" w:rsidRPr="006A0848" w:rsidRDefault="00B5621B" w:rsidP="00672DCC">
            <w:pPr>
              <w:jc w:val="both"/>
              <w:rPr>
                <w:rFonts w:ascii="Times New Roman" w:hAnsi="Times New Roman" w:cs="Times New Roman"/>
              </w:rPr>
            </w:pPr>
          </w:p>
        </w:tc>
        <w:tc>
          <w:tcPr>
            <w:tcW w:w="1559" w:type="dxa"/>
            <w:gridSpan w:val="2"/>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реализуемые</w:t>
            </w:r>
          </w:p>
        </w:tc>
        <w:tc>
          <w:tcPr>
            <w:tcW w:w="1808" w:type="dxa"/>
          </w:tcPr>
          <w:p w:rsidR="00B5621B" w:rsidRPr="006A0848" w:rsidRDefault="00B5621B" w:rsidP="00672DCC">
            <w:pPr>
              <w:jc w:val="center"/>
              <w:rPr>
                <w:rFonts w:ascii="Times New Roman" w:hAnsi="Times New Roman" w:cs="Times New Roman"/>
              </w:rPr>
            </w:pPr>
            <w:r w:rsidRPr="006A0848">
              <w:rPr>
                <w:rFonts w:ascii="Times New Roman" w:hAnsi="Times New Roman" w:cs="Times New Roman"/>
              </w:rPr>
              <w:t>предлагаемые</w:t>
            </w:r>
          </w:p>
        </w:tc>
      </w:tr>
      <w:tr w:rsidR="00B5621B" w:rsidRPr="006A0848" w:rsidTr="00672DCC">
        <w:tc>
          <w:tcPr>
            <w:tcW w:w="10172" w:type="dxa"/>
            <w:gridSpan w:val="8"/>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1. Функции, связанные с основным видом деятельности учреждения</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1.1</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Оказание услуг</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Руководитель учреждения (Иванов И.И.,), руководители структурных подразделений учреждения (Петров П.П., Сидоров С.С.), работники учреждения, к полномочиям которых относится оказание услуг (Смирнов М.М. и т.д.)</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Высокая вероятность, значительный потенциальный вред.</w:t>
            </w:r>
          </w:p>
        </w:tc>
        <w:tc>
          <w:tcPr>
            <w:tcW w:w="154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Внутренний </w:t>
            </w:r>
            <w:proofErr w:type="gramStart"/>
            <w:r w:rsidRPr="006A0848">
              <w:rPr>
                <w:rFonts w:ascii="Times New Roman" w:hAnsi="Times New Roman" w:cs="Times New Roman"/>
              </w:rPr>
              <w:t>контроль за</w:t>
            </w:r>
            <w:proofErr w:type="gramEnd"/>
            <w:r w:rsidRPr="006A0848">
              <w:rPr>
                <w:rFonts w:ascii="Times New Roman" w:hAnsi="Times New Roman" w:cs="Times New Roman"/>
              </w:rPr>
              <w:t xml:space="preserve"> исполнением работниками должностных обязанностей, основанный на механизме проверочных мероприятий. 2. </w:t>
            </w:r>
            <w:proofErr w:type="gramStart"/>
            <w:r w:rsidRPr="006A0848">
              <w:rPr>
                <w:rFonts w:ascii="Times New Roman" w:hAnsi="Times New Roman" w:cs="Times New Roman"/>
              </w:rPr>
              <w:t>Контроль за</w:t>
            </w:r>
            <w:proofErr w:type="gramEnd"/>
            <w:r w:rsidRPr="006A0848">
              <w:rPr>
                <w:rFonts w:ascii="Times New Roman" w:hAnsi="Times New Roman" w:cs="Times New Roman"/>
              </w:rPr>
              <w:t xml:space="preserve"> оформлением документации</w:t>
            </w:r>
          </w:p>
        </w:tc>
        <w:tc>
          <w:tcPr>
            <w:tcW w:w="1821"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Использование средств видеонаблюдения и аудиозаписи в местах приема граждан. 2. Организация внутреннего </w:t>
            </w:r>
            <w:proofErr w:type="gramStart"/>
            <w:r w:rsidRPr="006A0848">
              <w:rPr>
                <w:rFonts w:ascii="Times New Roman" w:hAnsi="Times New Roman" w:cs="Times New Roman"/>
              </w:rPr>
              <w:t>контроля за</w:t>
            </w:r>
            <w:proofErr w:type="gramEnd"/>
            <w:r w:rsidRPr="006A0848">
              <w:rPr>
                <w:rFonts w:ascii="Times New Roman" w:hAnsi="Times New Roman" w:cs="Times New Roman"/>
              </w:rPr>
              <w:t xml:space="preserve"> качеством оказания услуг.</w:t>
            </w:r>
          </w:p>
        </w:tc>
      </w:tr>
      <w:tr w:rsidR="00B5621B" w:rsidRPr="006A0848" w:rsidTr="00672DCC">
        <w:tc>
          <w:tcPr>
            <w:tcW w:w="10172" w:type="dxa"/>
            <w:gridSpan w:val="8"/>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2.Трудовые отношения</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2.1</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Принятие на работу сотрудников</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Предоставление не предусмотренных законом преимуществ, (протекционизм, семейственность и др.) при оформлении на </w:t>
            </w:r>
            <w:r w:rsidRPr="006A0848">
              <w:rPr>
                <w:rFonts w:ascii="Times New Roman" w:hAnsi="Times New Roman" w:cs="Times New Roman"/>
              </w:rPr>
              <w:lastRenderedPageBreak/>
              <w:t>работу.</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Руководитель учреждения, кадровый работник, руководители структурных подразделен</w:t>
            </w:r>
            <w:r w:rsidRPr="006A0848">
              <w:rPr>
                <w:rFonts w:ascii="Times New Roman" w:hAnsi="Times New Roman" w:cs="Times New Roman"/>
              </w:rPr>
              <w:lastRenderedPageBreak/>
              <w:t>ий учреждения.</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Низкая вероятность, незначительный потенциальный вред.</w:t>
            </w:r>
          </w:p>
        </w:tc>
        <w:tc>
          <w:tcPr>
            <w:tcW w:w="154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Разъяснительная работа с ответственными лицами о мерах ответственности за совершение коррупционн</w:t>
            </w:r>
            <w:r w:rsidRPr="006A0848">
              <w:rPr>
                <w:rFonts w:ascii="Times New Roman" w:hAnsi="Times New Roman" w:cs="Times New Roman"/>
              </w:rPr>
              <w:lastRenderedPageBreak/>
              <w:t>ых правонарушений.</w:t>
            </w:r>
          </w:p>
        </w:tc>
        <w:tc>
          <w:tcPr>
            <w:tcW w:w="1821"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Проведение собеседования при приеме на работу.</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2.2</w:t>
            </w:r>
          </w:p>
        </w:tc>
        <w:tc>
          <w:tcPr>
            <w:tcW w:w="1276" w:type="dxa"/>
          </w:tcPr>
          <w:p w:rsidR="00B5621B" w:rsidRPr="006A0848" w:rsidRDefault="00B5621B" w:rsidP="00672DCC">
            <w:pPr>
              <w:rPr>
                <w:rFonts w:ascii="Times New Roman" w:hAnsi="Times New Roman" w:cs="Times New Roman"/>
              </w:rPr>
            </w:pPr>
            <w:r w:rsidRPr="006A0848">
              <w:rPr>
                <w:rFonts w:ascii="Times New Roman" w:hAnsi="Times New Roman" w:cs="Times New Roman"/>
              </w:rPr>
              <w:t>Оплата труда работников</w:t>
            </w:r>
          </w:p>
        </w:tc>
        <w:tc>
          <w:tcPr>
            <w:tcW w:w="1916" w:type="dxa"/>
          </w:tcPr>
          <w:p w:rsidR="00B5621B" w:rsidRPr="006A0848" w:rsidRDefault="00B5621B" w:rsidP="00672DCC">
            <w:pPr>
              <w:rPr>
                <w:rFonts w:ascii="Times New Roman" w:hAnsi="Times New Roman" w:cs="Times New Roman"/>
              </w:rPr>
            </w:pPr>
            <w:r w:rsidRPr="006A0848">
              <w:rPr>
                <w:rFonts w:ascii="Times New Roman" w:hAnsi="Times New Roman" w:cs="Times New Roman"/>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rsidR="00B5621B" w:rsidRPr="006A0848" w:rsidRDefault="00B5621B" w:rsidP="00672DCC">
            <w:pPr>
              <w:rPr>
                <w:rFonts w:ascii="Times New Roman" w:hAnsi="Times New Roman" w:cs="Times New Roman"/>
              </w:rPr>
            </w:pPr>
            <w:r w:rsidRPr="006A0848">
              <w:rPr>
                <w:rFonts w:ascii="Times New Roman" w:hAnsi="Times New Roman" w:cs="Times New Roman"/>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rsidR="00B5621B" w:rsidRPr="006A0848" w:rsidRDefault="00B5621B" w:rsidP="00672DCC">
            <w:pPr>
              <w:rPr>
                <w:rFonts w:ascii="Times New Roman" w:hAnsi="Times New Roman" w:cs="Times New Roman"/>
              </w:rPr>
            </w:pPr>
            <w:r w:rsidRPr="006A0848">
              <w:rPr>
                <w:rFonts w:ascii="Times New Roman" w:hAnsi="Times New Roman" w:cs="Times New Roman"/>
              </w:rPr>
              <w:t>Средняя вероятность, значительный потенциальный вред.</w:t>
            </w:r>
          </w:p>
        </w:tc>
        <w:tc>
          <w:tcPr>
            <w:tcW w:w="1559" w:type="dxa"/>
            <w:gridSpan w:val="2"/>
          </w:tcPr>
          <w:p w:rsidR="00B5621B" w:rsidRPr="006A0848" w:rsidRDefault="00B5621B" w:rsidP="00672DCC">
            <w:pPr>
              <w:rPr>
                <w:rFonts w:ascii="Times New Roman" w:hAnsi="Times New Roman" w:cs="Times New Roman"/>
              </w:rPr>
            </w:pPr>
            <w:r w:rsidRPr="006A0848">
              <w:rPr>
                <w:rFonts w:ascii="Times New Roman" w:hAnsi="Times New Roman" w:cs="Times New Roman"/>
              </w:rPr>
              <w:t>Использование средств на оплату труда в строгом соответствии со штатным расписанием, Положением о премировании.</w:t>
            </w:r>
          </w:p>
        </w:tc>
        <w:tc>
          <w:tcPr>
            <w:tcW w:w="1808" w:type="dxa"/>
          </w:tcPr>
          <w:p w:rsidR="00B5621B" w:rsidRPr="006A0848" w:rsidRDefault="00B5621B" w:rsidP="00672DCC">
            <w:pPr>
              <w:rPr>
                <w:rFonts w:ascii="Times New Roman" w:hAnsi="Times New Roman" w:cs="Times New Roman"/>
              </w:rPr>
            </w:pPr>
            <w:r w:rsidRPr="006A0848">
              <w:rPr>
                <w:rFonts w:ascii="Times New Roman" w:hAnsi="Times New Roman" w:cs="Times New Roman"/>
              </w:rPr>
              <w:t>Разъяснения ответственным лицам мер ответственности за совершение коррупционных правонарушений.</w:t>
            </w:r>
          </w:p>
        </w:tc>
      </w:tr>
      <w:tr w:rsidR="00B5621B" w:rsidRPr="006A0848" w:rsidTr="00672DCC">
        <w:tc>
          <w:tcPr>
            <w:tcW w:w="10172" w:type="dxa"/>
            <w:gridSpan w:val="8"/>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3. Закупочная деятельность для нужд учреждения</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3.1</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Определение предмета и цены закупки.</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В одной закупке объединяются разнородные товары, работы, услуги, чтобы ограничить конкуренцию и привлечь к исполнению заказа конкретного поставщика, </w:t>
            </w:r>
            <w:proofErr w:type="spellStart"/>
            <w:r w:rsidRPr="006A0848">
              <w:rPr>
                <w:rFonts w:ascii="Times New Roman" w:hAnsi="Times New Roman" w:cs="Times New Roman"/>
              </w:rPr>
              <w:t>аффилированно</w:t>
            </w:r>
            <w:proofErr w:type="spellEnd"/>
            <w:r w:rsidRPr="006A0848">
              <w:rPr>
                <w:rFonts w:ascii="Times New Roman" w:hAnsi="Times New Roman" w:cs="Times New Roman"/>
              </w:rPr>
              <w:t xml:space="preserve"> го с заказчиком или выплачивающим ему 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w:t>
            </w:r>
            <w:proofErr w:type="spellStart"/>
            <w:r w:rsidRPr="006A0848">
              <w:rPr>
                <w:rFonts w:ascii="Times New Roman" w:hAnsi="Times New Roman" w:cs="Times New Roman"/>
              </w:rPr>
              <w:t>аффилирован</w:t>
            </w:r>
            <w:proofErr w:type="spellEnd"/>
            <w:r w:rsidRPr="006A0848">
              <w:rPr>
                <w:rFonts w:ascii="Times New Roman" w:hAnsi="Times New Roman" w:cs="Times New Roman"/>
              </w:rPr>
              <w:t xml:space="preserve"> с заказчиком или выплачивает ему незаконное вознаграждение. </w:t>
            </w:r>
            <w:r w:rsidRPr="006A0848">
              <w:rPr>
                <w:rFonts w:ascii="Times New Roman" w:hAnsi="Times New Roman" w:cs="Times New Roman"/>
              </w:rPr>
              <w:lastRenderedPageBreak/>
              <w:t xml:space="preserve">3. Срок поставки товара, оказания услуг, выполнения работ заведомо недостаточен для добросовестного поставщика. Поставщик </w:t>
            </w:r>
            <w:proofErr w:type="spellStart"/>
            <w:r w:rsidRPr="006A0848">
              <w:rPr>
                <w:rFonts w:ascii="Times New Roman" w:hAnsi="Times New Roman" w:cs="Times New Roman"/>
              </w:rPr>
              <w:t>аффилирован</w:t>
            </w:r>
            <w:proofErr w:type="spellEnd"/>
            <w:r w:rsidRPr="006A0848">
              <w:rPr>
                <w:rFonts w:ascii="Times New Roman" w:hAnsi="Times New Roman" w:cs="Times New Roman"/>
              </w:rPr>
              <w:t xml:space="preserve"> с заказчиком или выплачивает ему незаконное вознаграждение.</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Высокая вероятность, значительный потенциальный вред.</w:t>
            </w:r>
          </w:p>
        </w:tc>
        <w:tc>
          <w:tcPr>
            <w:tcW w:w="1559"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Оценка уполномоченным подразделением учреждения целесообразности объединения в одной закупке разных товаров, работ, услуг для закупок, в состав которых входит более одного товара, работы, услуги. 2. Проверка наличия </w:t>
            </w:r>
            <w:proofErr w:type="gramStart"/>
            <w:r w:rsidRPr="006A0848">
              <w:rPr>
                <w:rFonts w:ascii="Times New Roman" w:hAnsi="Times New Roman" w:cs="Times New Roman"/>
              </w:rPr>
              <w:t>возможной</w:t>
            </w:r>
            <w:proofErr w:type="gramEnd"/>
            <w:r w:rsidRPr="006A0848">
              <w:rPr>
                <w:rFonts w:ascii="Times New Roman" w:hAnsi="Times New Roman" w:cs="Times New Roman"/>
              </w:rPr>
              <w:t xml:space="preserve"> </w:t>
            </w:r>
            <w:proofErr w:type="spellStart"/>
            <w:r w:rsidRPr="006A0848">
              <w:rPr>
                <w:rFonts w:ascii="Times New Roman" w:hAnsi="Times New Roman" w:cs="Times New Roman"/>
              </w:rPr>
              <w:t>аффилированности</w:t>
            </w:r>
            <w:proofErr w:type="spellEnd"/>
            <w:r w:rsidRPr="006A0848">
              <w:rPr>
                <w:rFonts w:ascii="Times New Roman" w:hAnsi="Times New Roman" w:cs="Times New Roman"/>
              </w:rPr>
              <w:t xml:space="preserve"> между заказчиком и поставщиком.</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3.2</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Оценка заявок и выбор поставщика</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самую низкую цену, которая по существу является достаточно высокой. 3. Закупка у «своего» исполнителя с необоснованным отклонением остальных заявок. 4. Закупка у «своего» исполнителя при </w:t>
            </w:r>
            <w:r w:rsidRPr="006A0848">
              <w:rPr>
                <w:rFonts w:ascii="Times New Roman" w:hAnsi="Times New Roman" w:cs="Times New Roman"/>
              </w:rPr>
              <w:lastRenderedPageBreak/>
              <w:t>сговоре с другими участниками. 5. Завышение стоимости закупки за счет привлечения посредников.</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привлекаемые для оценки заявок.</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Высокая вероятность, значительный потенциальный вред.</w:t>
            </w:r>
          </w:p>
        </w:tc>
        <w:tc>
          <w:tcPr>
            <w:tcW w:w="1559"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Требование согласования решения о заключении договора с участником, чья заявка </w:t>
            </w:r>
            <w:proofErr w:type="gramStart"/>
            <w:r w:rsidRPr="006A0848">
              <w:rPr>
                <w:rFonts w:ascii="Times New Roman" w:hAnsi="Times New Roman" w:cs="Times New Roman"/>
              </w:rPr>
              <w:t>была единственной признанной соответствую</w:t>
            </w:r>
            <w:proofErr w:type="gramEnd"/>
            <w:r w:rsidRPr="006A0848">
              <w:rPr>
                <w:rFonts w:ascii="Times New Roman" w:hAnsi="Times New Roman" w:cs="Times New Roman"/>
              </w:rPr>
              <w:t xml:space="preserve"> щей требованиям (для конкурентной закупки). 2. Установление требования согласования для случаев, когда соответствующими требованиям документации о закупке признаются заявки нескольких участников, с признаками </w:t>
            </w:r>
            <w:proofErr w:type="spellStart"/>
            <w:r w:rsidRPr="006A0848">
              <w:rPr>
                <w:rFonts w:ascii="Times New Roman" w:hAnsi="Times New Roman" w:cs="Times New Roman"/>
              </w:rPr>
              <w:t>аффилированн</w:t>
            </w:r>
            <w:proofErr w:type="spellEnd"/>
            <w:r w:rsidRPr="006A0848">
              <w:rPr>
                <w:rFonts w:ascii="Times New Roman" w:hAnsi="Times New Roman" w:cs="Times New Roman"/>
              </w:rPr>
              <w:t xml:space="preserve"> ости между собой. 3. Наличие перечня оснований, когда может проводиться закупка у единственного поставщика. 4. </w:t>
            </w:r>
            <w:r w:rsidRPr="006A0848">
              <w:rPr>
                <w:rFonts w:ascii="Times New Roman" w:hAnsi="Times New Roman" w:cs="Times New Roman"/>
              </w:rPr>
              <w:lastRenderedPageBreak/>
              <w:t>Недопущение осуществления закупки у перекупщика, а не у реального поставщика (в случае закупки у единственного поставщика).</w:t>
            </w:r>
          </w:p>
        </w:tc>
        <w:tc>
          <w:tcPr>
            <w:tcW w:w="1808"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 xml:space="preserve">1. Ограничение возможности закупающим работникам предоставлять кому- либо сведения о ходе закупок, проводить не предусмотренные переговоры с участниками. 2. Ограничение возможности закупающим работникам получать какие-либо выгоды от проведения закупки, кроме официально </w:t>
            </w:r>
            <w:proofErr w:type="gramStart"/>
            <w:r w:rsidRPr="006A0848">
              <w:rPr>
                <w:rFonts w:ascii="Times New Roman" w:hAnsi="Times New Roman" w:cs="Times New Roman"/>
              </w:rPr>
              <w:t>предусмотренных</w:t>
            </w:r>
            <w:proofErr w:type="gramEnd"/>
            <w:r w:rsidRPr="006A0848">
              <w:rPr>
                <w:rFonts w:ascii="Times New Roman" w:hAnsi="Times New Roman" w:cs="Times New Roman"/>
              </w:rPr>
              <w:t xml:space="preserve">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w:t>
            </w:r>
            <w:proofErr w:type="spellStart"/>
            <w:r w:rsidRPr="006A0848">
              <w:rPr>
                <w:rFonts w:ascii="Times New Roman" w:hAnsi="Times New Roman" w:cs="Times New Roman"/>
              </w:rPr>
              <w:t>аффилированности</w:t>
            </w:r>
            <w:proofErr w:type="spellEnd"/>
            <w:r w:rsidRPr="006A0848">
              <w:rPr>
                <w:rFonts w:ascii="Times New Roman" w:hAnsi="Times New Roman" w:cs="Times New Roman"/>
              </w:rPr>
              <w:t xml:space="preserve">. 4. Разъяснение понятия </w:t>
            </w:r>
            <w:proofErr w:type="spellStart"/>
            <w:r w:rsidRPr="006A0848">
              <w:rPr>
                <w:rFonts w:ascii="Times New Roman" w:hAnsi="Times New Roman" w:cs="Times New Roman"/>
              </w:rPr>
              <w:t>аффилированно</w:t>
            </w:r>
            <w:r w:rsidRPr="006A0848">
              <w:rPr>
                <w:rFonts w:ascii="Times New Roman" w:hAnsi="Times New Roman" w:cs="Times New Roman"/>
              </w:rPr>
              <w:lastRenderedPageBreak/>
              <w:t>сти</w:t>
            </w:r>
            <w:proofErr w:type="spellEnd"/>
            <w:r w:rsidRPr="006A0848">
              <w:rPr>
                <w:rFonts w:ascii="Times New Roman" w:hAnsi="Times New Roman" w:cs="Times New Roman"/>
              </w:rPr>
              <w:t xml:space="preserve">, установление требований к разрешению выявленных ситуаций </w:t>
            </w:r>
            <w:proofErr w:type="spellStart"/>
            <w:r w:rsidRPr="006A0848">
              <w:rPr>
                <w:rFonts w:ascii="Times New Roman" w:hAnsi="Times New Roman" w:cs="Times New Roman"/>
              </w:rPr>
              <w:t>аффилированности</w:t>
            </w:r>
            <w:proofErr w:type="spellEnd"/>
            <w:r w:rsidRPr="006A0848">
              <w:rPr>
                <w:rFonts w:ascii="Times New Roman" w:hAnsi="Times New Roman" w:cs="Times New Roman"/>
              </w:rPr>
              <w:t>.</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3.3</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Публикация информации о закупке</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w:t>
            </w:r>
            <w:proofErr w:type="spellStart"/>
            <w:r w:rsidRPr="006A0848">
              <w:rPr>
                <w:rFonts w:ascii="Times New Roman" w:hAnsi="Times New Roman" w:cs="Times New Roman"/>
              </w:rPr>
              <w:t>аффилированный</w:t>
            </w:r>
            <w:proofErr w:type="spellEnd"/>
            <w:r w:rsidRPr="006A0848">
              <w:rPr>
                <w:rFonts w:ascii="Times New Roman" w:hAnsi="Times New Roman" w:cs="Times New Roman"/>
              </w:rPr>
              <w:t xml:space="preserve">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w:t>
            </w:r>
            <w:proofErr w:type="spellStart"/>
            <w:r w:rsidRPr="006A0848">
              <w:rPr>
                <w:rFonts w:ascii="Times New Roman" w:hAnsi="Times New Roman" w:cs="Times New Roman"/>
              </w:rPr>
              <w:t>аффилированный</w:t>
            </w:r>
            <w:proofErr w:type="spellEnd"/>
            <w:r w:rsidRPr="006A0848">
              <w:rPr>
                <w:rFonts w:ascii="Times New Roman" w:hAnsi="Times New Roman" w:cs="Times New Roman"/>
              </w:rPr>
              <w:t xml:space="preserve"> с заказчиком или выплачивающий ему незаконное вознаграждение</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Работники учреждения, формирующие документы о закупке</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Высокая вероятность, значительный потенциальный вред</w:t>
            </w:r>
          </w:p>
        </w:tc>
        <w:tc>
          <w:tcPr>
            <w:tcW w:w="1559"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Проверка наличия </w:t>
            </w:r>
            <w:proofErr w:type="gramStart"/>
            <w:r w:rsidRPr="006A0848">
              <w:rPr>
                <w:rFonts w:ascii="Times New Roman" w:hAnsi="Times New Roman" w:cs="Times New Roman"/>
              </w:rPr>
              <w:t>возможной</w:t>
            </w:r>
            <w:proofErr w:type="gramEnd"/>
            <w:r w:rsidRPr="006A0848">
              <w:rPr>
                <w:rFonts w:ascii="Times New Roman" w:hAnsi="Times New Roman" w:cs="Times New Roman"/>
              </w:rPr>
              <w:t xml:space="preserve"> </w:t>
            </w:r>
            <w:proofErr w:type="spellStart"/>
            <w:r w:rsidRPr="006A0848">
              <w:rPr>
                <w:rFonts w:ascii="Times New Roman" w:hAnsi="Times New Roman" w:cs="Times New Roman"/>
              </w:rPr>
              <w:t>аффилированности</w:t>
            </w:r>
            <w:proofErr w:type="spellEnd"/>
            <w:r w:rsidRPr="006A0848">
              <w:rPr>
                <w:rFonts w:ascii="Times New Roman" w:hAnsi="Times New Roman" w:cs="Times New Roman"/>
              </w:rPr>
              <w:t xml:space="preserve"> между заказчиком и поставщиком.</w:t>
            </w:r>
          </w:p>
        </w:tc>
      </w:tr>
      <w:tr w:rsidR="00B5621B" w:rsidRPr="006A0848" w:rsidTr="00672DCC">
        <w:tc>
          <w:tcPr>
            <w:tcW w:w="10172" w:type="dxa"/>
            <w:gridSpan w:val="8"/>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4. Распоряжение бюджетными средствами и имуществом учреждения</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4.1</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 xml:space="preserve">Принятие </w:t>
            </w:r>
            <w:r w:rsidRPr="006A0848">
              <w:rPr>
                <w:rFonts w:ascii="Times New Roman" w:hAnsi="Times New Roman" w:cs="Times New Roman"/>
              </w:rPr>
              <w:lastRenderedPageBreak/>
              <w:t>решений об использовании бюджетных средств и средств от приносящей доход деятельности.</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 xml:space="preserve">Нецелевое </w:t>
            </w:r>
            <w:r w:rsidRPr="006A0848">
              <w:rPr>
                <w:rFonts w:ascii="Times New Roman" w:hAnsi="Times New Roman" w:cs="Times New Roman"/>
              </w:rPr>
              <w:lastRenderedPageBreak/>
              <w:t>использование бюджетных средств и средств, полученных от приносящей доход деятельности.</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Руководител</w:t>
            </w:r>
            <w:r w:rsidRPr="006A0848">
              <w:rPr>
                <w:rFonts w:ascii="Times New Roman" w:hAnsi="Times New Roman" w:cs="Times New Roman"/>
              </w:rPr>
              <w:lastRenderedPageBreak/>
              <w:t>ь учреждения.</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 xml:space="preserve">Средняя </w:t>
            </w:r>
            <w:r w:rsidRPr="006A0848">
              <w:rPr>
                <w:rFonts w:ascii="Times New Roman" w:hAnsi="Times New Roman" w:cs="Times New Roman"/>
              </w:rPr>
              <w:lastRenderedPageBreak/>
              <w:t>вероятность, значительный потенциальный вред.</w:t>
            </w:r>
          </w:p>
        </w:tc>
        <w:tc>
          <w:tcPr>
            <w:tcW w:w="1559"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Разъяснитель</w:t>
            </w:r>
            <w:r w:rsidRPr="006A0848">
              <w:rPr>
                <w:rFonts w:ascii="Times New Roman" w:hAnsi="Times New Roman" w:cs="Times New Roman"/>
              </w:rPr>
              <w:lastRenderedPageBreak/>
              <w:t>ная работа о мерах ответственности за совершение коррупционных правонарушений</w:t>
            </w:r>
          </w:p>
        </w:tc>
        <w:tc>
          <w:tcPr>
            <w:tcW w:w="1808"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 xml:space="preserve">1. Обеспечение </w:t>
            </w:r>
            <w:r w:rsidRPr="006A0848">
              <w:rPr>
                <w:rFonts w:ascii="Times New Roman" w:hAnsi="Times New Roman" w:cs="Times New Roman"/>
              </w:rPr>
              <w:lastRenderedPageBreak/>
              <w:t>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B5621B" w:rsidRPr="006A0848" w:rsidTr="00672DCC">
        <w:tc>
          <w:tcPr>
            <w:tcW w:w="10172" w:type="dxa"/>
            <w:gridSpan w:val="8"/>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lastRenderedPageBreak/>
              <w:t>5. Иные коррупционные риски</w:t>
            </w:r>
          </w:p>
        </w:tc>
      </w:tr>
      <w:tr w:rsidR="00B5621B" w:rsidRPr="006A0848" w:rsidTr="00672DCC">
        <w:tc>
          <w:tcPr>
            <w:tcW w:w="709"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5.1</w:t>
            </w:r>
          </w:p>
        </w:tc>
        <w:tc>
          <w:tcPr>
            <w:tcW w:w="127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Предложение от заинтересованных лиц за определенное вознаграждение предоставить доступ к информации, которая не подлежит официальному распространению.</w:t>
            </w:r>
          </w:p>
        </w:tc>
        <w:tc>
          <w:tcPr>
            <w:tcW w:w="145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Работники учреждения.</w:t>
            </w:r>
          </w:p>
        </w:tc>
        <w:tc>
          <w:tcPr>
            <w:tcW w:w="1447"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Высокая вероятность, значительный потенциальный вред.</w:t>
            </w:r>
          </w:p>
        </w:tc>
        <w:tc>
          <w:tcPr>
            <w:tcW w:w="1559" w:type="dxa"/>
            <w:gridSpan w:val="2"/>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Ограничение доступа в служебное время в информационно – телекоммуникационную сеть «Интернет».</w:t>
            </w:r>
          </w:p>
        </w:tc>
        <w:tc>
          <w:tcPr>
            <w:tcW w:w="1808" w:type="dxa"/>
          </w:tcPr>
          <w:p w:rsidR="00B5621B" w:rsidRPr="006A0848" w:rsidRDefault="00B5621B" w:rsidP="00672DCC">
            <w:pPr>
              <w:jc w:val="both"/>
              <w:rPr>
                <w:rFonts w:ascii="Times New Roman" w:hAnsi="Times New Roman" w:cs="Times New Roman"/>
              </w:rPr>
            </w:pPr>
            <w:r w:rsidRPr="006A0848">
              <w:rPr>
                <w:rFonts w:ascii="Times New Roman" w:hAnsi="Times New Roman" w:cs="Times New Roman"/>
              </w:rPr>
              <w:t>Установление запрета на использование съемных машинных носителей информации (</w:t>
            </w:r>
            <w:proofErr w:type="spellStart"/>
            <w:r w:rsidRPr="006A0848">
              <w:rPr>
                <w:rFonts w:ascii="Times New Roman" w:hAnsi="Times New Roman" w:cs="Times New Roman"/>
              </w:rPr>
              <w:t>флэшнакопители</w:t>
            </w:r>
            <w:proofErr w:type="spellEnd"/>
            <w:r w:rsidRPr="006A0848">
              <w:rPr>
                <w:rFonts w:ascii="Times New Roman" w:hAnsi="Times New Roman" w:cs="Times New Roman"/>
              </w:rPr>
              <w:t>, внешние накопители на жестких дисках и др.).</w:t>
            </w:r>
          </w:p>
        </w:tc>
      </w:tr>
    </w:tbl>
    <w:p w:rsidR="00B5621B" w:rsidRPr="006A0848" w:rsidRDefault="00B5621B" w:rsidP="00B5621B">
      <w:pPr>
        <w:spacing w:after="0"/>
        <w:jc w:val="right"/>
        <w:rPr>
          <w:rFonts w:ascii="Times New Roman" w:hAnsi="Times New Roman" w:cs="Times New Roman"/>
        </w:rPr>
      </w:pPr>
    </w:p>
    <w:p w:rsidR="00B5621B" w:rsidRPr="006A0848" w:rsidRDefault="00B5621B" w:rsidP="00B5621B">
      <w:pPr>
        <w:rPr>
          <w:rFonts w:ascii="Times New Roman" w:hAnsi="Times New Roman" w:cs="Times New Roman"/>
          <w:sz w:val="24"/>
          <w:szCs w:val="24"/>
        </w:rPr>
      </w:pPr>
      <w:r w:rsidRPr="006A0848">
        <w:rPr>
          <w:rFonts w:ascii="Times New Roman" w:hAnsi="Times New Roman" w:cs="Times New Roman"/>
          <w:sz w:val="24"/>
          <w:szCs w:val="24"/>
        </w:rPr>
        <w:br w:type="page"/>
      </w:r>
    </w:p>
    <w:p w:rsidR="003A4A73" w:rsidRDefault="003A4A73"/>
    <w:sectPr w:rsidR="003A4A73" w:rsidSect="003A4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21B"/>
    <w:rsid w:val="002F4ABC"/>
    <w:rsid w:val="003A4A73"/>
    <w:rsid w:val="00B5621B"/>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2093</Words>
  <Characters>11931</Characters>
  <Application>Microsoft Office Word</Application>
  <DocSecurity>0</DocSecurity>
  <Lines>99</Lines>
  <Paragraphs>27</Paragraphs>
  <ScaleCrop>false</ScaleCrop>
  <Company>Krokoz™</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Родничок</cp:lastModifiedBy>
  <cp:revision>3</cp:revision>
  <cp:lastPrinted>2025-10-20T08:52:00Z</cp:lastPrinted>
  <dcterms:created xsi:type="dcterms:W3CDTF">2023-02-17T10:30:00Z</dcterms:created>
  <dcterms:modified xsi:type="dcterms:W3CDTF">2025-10-20T08:53:00Z</dcterms:modified>
</cp:coreProperties>
</file>